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media/image1.wmf" ContentType="image/x-wmf"/>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9817" w:type="dxa"/>
        <w:jc w:val="start"/>
        <w:tblInd w:w="19" w:type="dxa"/>
        <w:tblLayout w:type="fixed"/>
        <w:tblCellMar>
          <w:top w:w="55" w:type="dxa"/>
          <w:start w:w="55" w:type="dxa"/>
          <w:bottom w:w="55" w:type="dxa"/>
          <w:end w:w="55" w:type="dxa"/>
        </w:tblCellMar>
      </w:tblPr>
      <w:tblGrid>
        <w:gridCol w:w="3912"/>
        <w:gridCol w:w="5905"/>
      </w:tblGrid>
      <w:tr>
        <w:trPr>
          <w:trHeight w:val="2204" w:hRule="atLeast"/>
        </w:trPr>
        <w:tc>
          <w:tcPr>
            <w:tcW w:w="3912" w:type="dxa"/>
            <w:tcBorders/>
          </w:tcPr>
          <w:p>
            <w:pPr>
              <w:pStyle w:val="Contenudetableau"/>
              <w:snapToGrid w:val="false"/>
              <w:jc w:val="both"/>
              <w:rPr/>
            </w:pPr>
            <w:r>
              <w:rPr/>
              <w:drawing>
                <wp:anchor behindDoc="1" distT="0" distB="0" distL="114935" distR="114935" simplePos="0" locked="0" layoutInCell="1" allowOverlap="1" relativeHeight="2">
                  <wp:simplePos x="0" y="0"/>
                  <wp:positionH relativeFrom="column">
                    <wp:posOffset>-228600</wp:posOffset>
                  </wp:positionH>
                  <wp:positionV relativeFrom="paragraph">
                    <wp:posOffset>-471805</wp:posOffset>
                  </wp:positionV>
                  <wp:extent cx="1767205" cy="1484630"/>
                  <wp:effectExtent l="0" t="0" r="0" b="0"/>
                  <wp:wrapTight wrapText="bothSides">
                    <wp:wrapPolygon edited="0">
                      <wp:start x="-43" y="43"/>
                      <wp:lineTo x="-43" y="21380"/>
                      <wp:lineTo x="21559" y="21380"/>
                      <wp:lineTo x="21559" y="43"/>
                      <wp:lineTo x="-43" y="43"/>
                    </wp:wrapPolygon>
                  </wp:wrapTigh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rcRect l="-190" t="-218" r="-190" b="-218"/>
                          <a:stretch>
                            <a:fillRect/>
                          </a:stretch>
                        </pic:blipFill>
                        <pic:spPr bwMode="auto">
                          <a:xfrm>
                            <a:off x="0" y="0"/>
                            <a:ext cx="1767205" cy="1484630"/>
                          </a:xfrm>
                          <a:prstGeom prst="rect">
                            <a:avLst/>
                          </a:prstGeom>
                          <a:solidFill>
                            <a:srgbClr val="ffffff"/>
                          </a:solidFill>
                        </pic:spPr>
                      </pic:pic>
                    </a:graphicData>
                  </a:graphic>
                </wp:anchor>
              </w:drawing>
            </w:r>
          </w:p>
        </w:tc>
        <w:tc>
          <w:tcPr>
            <w:tcW w:w="5905" w:type="dxa"/>
            <w:tcBorders/>
          </w:tcPr>
          <w:p>
            <w:pPr>
              <w:pStyle w:val="Footer"/>
              <w:jc w:val="end"/>
              <w:rPr>
                <w:rFonts w:ascii="Marianne" w:hAnsi="Marianne" w:cs="Marianne"/>
                <w:b/>
                <w:color w:val="000000"/>
                <w:sz w:val="22"/>
                <w:szCs w:val="22"/>
              </w:rPr>
            </w:pPr>
            <w:r>
              <w:rPr>
                <w:rFonts w:cs="Marianne" w:ascii="Marianne" w:hAnsi="Marianne"/>
                <w:b/>
                <w:color w:val="000000"/>
                <w:sz w:val="22"/>
                <w:szCs w:val="22"/>
              </w:rPr>
              <w:t>Secrétariat général</w:t>
            </w:r>
          </w:p>
          <w:p>
            <w:pPr>
              <w:pStyle w:val="Normal"/>
              <w:jc w:val="end"/>
              <w:rPr>
                <w:rFonts w:ascii="Marianne" w:hAnsi="Marianne" w:cs="Marianne"/>
                <w:b/>
                <w:color w:val="000000"/>
                <w:sz w:val="22"/>
                <w:szCs w:val="22"/>
              </w:rPr>
            </w:pPr>
            <w:r>
              <w:rPr>
                <w:rFonts w:cs="Marianne" w:ascii="Marianne" w:hAnsi="Marianne"/>
                <w:b/>
                <w:color w:val="000000"/>
                <w:sz w:val="22"/>
                <w:szCs w:val="22"/>
              </w:rPr>
              <w:t>de la zone de défense et de sécurité Sud</w:t>
            </w:r>
          </w:p>
          <w:p>
            <w:pPr>
              <w:pStyle w:val="Normal"/>
              <w:rPr>
                <w:rFonts w:ascii="Marianne" w:hAnsi="Marianne" w:cs="Marianne"/>
                <w:b/>
                <w:color w:val="000000"/>
                <w:sz w:val="22"/>
                <w:szCs w:val="22"/>
              </w:rPr>
            </w:pPr>
            <w:r>
              <w:rPr>
                <w:rFonts w:cs="Marianne" w:ascii="Marianne" w:hAnsi="Marianne"/>
                <w:b/>
                <w:color w:val="000000"/>
                <w:sz w:val="22"/>
                <w:szCs w:val="22"/>
              </w:rPr>
            </w:r>
          </w:p>
          <w:p>
            <w:pPr>
              <w:pStyle w:val="Normal"/>
              <w:jc w:val="end"/>
              <w:rPr>
                <w:rFonts w:ascii="Marianne" w:hAnsi="Marianne" w:cs="Marianne"/>
                <w:color w:val="000000"/>
                <w:sz w:val="22"/>
                <w:szCs w:val="22"/>
              </w:rPr>
            </w:pPr>
            <w:r>
              <w:rPr>
                <w:rFonts w:cs="Marianne" w:ascii="Marianne" w:hAnsi="Marianne"/>
                <w:color w:val="000000"/>
                <w:sz w:val="22"/>
                <w:szCs w:val="22"/>
              </w:rPr>
              <w:t>Secrétariat général pour l’administration</w:t>
            </w:r>
          </w:p>
          <w:p>
            <w:pPr>
              <w:pStyle w:val="Footer"/>
              <w:jc w:val="end"/>
              <w:rPr>
                <w:rFonts w:ascii="Marianne" w:hAnsi="Marianne" w:cs="Marianne"/>
                <w:color w:val="000000"/>
                <w:sz w:val="22"/>
                <w:szCs w:val="22"/>
              </w:rPr>
            </w:pPr>
            <w:r>
              <w:rPr>
                <w:rFonts w:cs="Marianne" w:ascii="Marianne" w:hAnsi="Marianne"/>
                <w:color w:val="000000"/>
                <w:sz w:val="22"/>
                <w:szCs w:val="22"/>
              </w:rPr>
              <w:t>du ministère de l’Intérieur Sud</w:t>
            </w:r>
          </w:p>
          <w:p>
            <w:pPr>
              <w:pStyle w:val="Footer"/>
              <w:jc w:val="end"/>
              <w:rPr>
                <w:rFonts w:ascii="Marianne" w:hAnsi="Marianne" w:cs="Marianne"/>
                <w:color w:val="000000"/>
                <w:sz w:val="22"/>
                <w:szCs w:val="22"/>
              </w:rPr>
            </w:pPr>
            <w:r>
              <w:rPr>
                <w:rFonts w:cs="Marianne" w:ascii="Marianne" w:hAnsi="Marianne"/>
                <w:color w:val="000000"/>
                <w:sz w:val="22"/>
                <w:szCs w:val="22"/>
              </w:rPr>
            </w:r>
          </w:p>
          <w:p>
            <w:pPr>
              <w:pStyle w:val="Normal"/>
              <w:kinsoku w:val="false"/>
              <w:autoSpaceDE w:val="false"/>
              <w:jc w:val="end"/>
              <w:rPr>
                <w:rFonts w:ascii="Marianne" w:hAnsi="Marianne" w:eastAsia="0;Times New Roman" w:cs="Marianne"/>
                <w:color w:val="000000"/>
                <w:sz w:val="22"/>
                <w:szCs w:val="22"/>
              </w:rPr>
            </w:pPr>
            <w:r>
              <w:rPr>
                <w:rFonts w:eastAsia="0;Times New Roman" w:cs="Marianne" w:ascii="Marianne" w:hAnsi="Marianne"/>
                <w:color w:val="000000"/>
                <w:sz w:val="22"/>
                <w:szCs w:val="22"/>
              </w:rPr>
              <w:t>Direction de l’administration générale et des finances</w:t>
            </w:r>
          </w:p>
          <w:p>
            <w:pPr>
              <w:pStyle w:val="Normal"/>
              <w:kinsoku w:val="false"/>
              <w:autoSpaceDE w:val="false"/>
              <w:jc w:val="end"/>
              <w:rPr>
                <w:rFonts w:ascii="Marianne" w:hAnsi="Marianne" w:eastAsia="Microsoft YaHei" w:cs="Marianne"/>
                <w:color w:val="000000"/>
                <w:sz w:val="22"/>
                <w:szCs w:val="22"/>
              </w:rPr>
            </w:pPr>
            <w:r>
              <w:rPr>
                <w:rFonts w:eastAsia="0;Times New Roman" w:cs="Marianne" w:ascii="Marianne" w:hAnsi="Marianne"/>
                <w:color w:val="000000"/>
                <w:sz w:val="22"/>
                <w:szCs w:val="22"/>
              </w:rPr>
              <w:t>Bureau de la commande publique et des achats</w:t>
            </w:r>
          </w:p>
          <w:p>
            <w:pPr>
              <w:pStyle w:val="Footer"/>
              <w:jc w:val="end"/>
              <w:rPr>
                <w:rFonts w:ascii="Marianne" w:hAnsi="Marianne" w:eastAsia="Microsoft YaHei" w:cs="Marianne"/>
                <w:color w:val="000000"/>
                <w:sz w:val="22"/>
                <w:szCs w:val="22"/>
              </w:rPr>
            </w:pPr>
            <w:r>
              <w:rPr>
                <w:rFonts w:eastAsia="Microsoft YaHei" w:cs="Marianne" w:ascii="Marianne" w:hAnsi="Marianne"/>
                <w:color w:val="000000"/>
                <w:sz w:val="22"/>
                <w:szCs w:val="22"/>
              </w:rPr>
            </w:r>
          </w:p>
        </w:tc>
      </w:tr>
    </w:tbl>
    <w:p>
      <w:pPr>
        <w:pStyle w:val="Normal"/>
        <w:jc w:val="both"/>
        <w:rPr>
          <w:rFonts w:ascii="Marianne" w:hAnsi="Marianne" w:cs="Marianne"/>
          <w:b/>
          <w:bCs/>
          <w:iCs/>
          <w:caps/>
          <w:color w:val="000000"/>
        </w:rPr>
      </w:pPr>
      <w:r>
        <w:rPr>
          <w:rFonts w:cs="Marianne" w:ascii="Marianne" w:hAnsi="Marianne"/>
          <w:b/>
          <w:bCs/>
          <w:iCs/>
          <w:caps/>
          <w:color w:val="000000"/>
        </w:rPr>
      </w:r>
    </w:p>
    <w:p>
      <w:pPr>
        <w:pStyle w:val="Normal"/>
        <w:pBdr>
          <w:top w:val="single" w:sz="4" w:space="1" w:color="00000A"/>
          <w:left w:val="single" w:sz="4" w:space="0" w:color="00000A"/>
          <w:bottom w:val="single" w:sz="4" w:space="1" w:color="00000A"/>
          <w:right w:val="single" w:sz="4" w:space="0" w:color="00000A"/>
        </w:pBdr>
        <w:jc w:val="center"/>
        <w:rPr>
          <w:rFonts w:ascii="Marianne" w:hAnsi="Marianne" w:cs="Marianne"/>
          <w:b/>
          <w:color w:val="000000"/>
          <w:sz w:val="22"/>
          <w:szCs w:val="22"/>
          <w:shd w:fill="auto" w:val="clear"/>
        </w:rPr>
      </w:pPr>
      <w:r>
        <w:rPr>
          <w:rFonts w:cs="Marianne" w:ascii="Marianne" w:hAnsi="Marianne"/>
          <w:b/>
          <w:color w:val="000000"/>
          <w:sz w:val="22"/>
          <w:szCs w:val="22"/>
          <w:shd w:fill="auto" w:val="clear"/>
        </w:rPr>
        <w:t>Assistance Technique et Globale à Maîtrise d'Ouvrage dans le cadre d'un Marché Public Global Sectoriel pour la construction du centre de rétention administrative de Luynes (13)</w:t>
      </w:r>
    </w:p>
    <w:p>
      <w:pPr>
        <w:pStyle w:val="Normal"/>
        <w:pBdr>
          <w:top w:val="single" w:sz="4" w:space="1" w:color="00000A"/>
          <w:left w:val="single" w:sz="4" w:space="0" w:color="00000A"/>
          <w:bottom w:val="single" w:sz="4" w:space="1" w:color="00000A"/>
          <w:right w:val="single" w:sz="4" w:space="0" w:color="00000A"/>
        </w:pBdr>
        <w:jc w:val="center"/>
        <w:rPr>
          <w:rFonts w:ascii="Marianne" w:hAnsi="Marianne" w:cs="Marianne"/>
          <w:b/>
          <w:color w:val="000000"/>
          <w:sz w:val="22"/>
          <w:szCs w:val="22"/>
          <w:shd w:fill="auto" w:val="clear"/>
        </w:rPr>
      </w:pPr>
      <w:r>
        <w:rPr>
          <w:rFonts w:cs="Marianne" w:ascii="Marianne" w:hAnsi="Marianne"/>
          <w:b/>
          <w:color w:val="000000"/>
          <w:sz w:val="22"/>
          <w:szCs w:val="22"/>
          <w:shd w:fill="auto" w:val="clear"/>
        </w:rPr>
      </w:r>
    </w:p>
    <w:p>
      <w:pPr>
        <w:pStyle w:val="Normal"/>
        <w:pBdr>
          <w:top w:val="single" w:sz="4" w:space="1" w:color="00000A"/>
          <w:left w:val="single" w:sz="4" w:space="0" w:color="00000A"/>
          <w:bottom w:val="single" w:sz="4" w:space="1" w:color="00000A"/>
          <w:right w:val="single" w:sz="4" w:space="0" w:color="00000A"/>
        </w:pBdr>
        <w:jc w:val="center"/>
        <w:rPr>
          <w:rFonts w:ascii="Marianne" w:hAnsi="Marianne" w:cs="Marianne"/>
          <w:b/>
          <w:bCs/>
          <w:iCs/>
          <w:caps/>
          <w:color w:val="000000"/>
          <w:sz w:val="22"/>
          <w:szCs w:val="22"/>
        </w:rPr>
      </w:pPr>
      <w:r>
        <w:rPr>
          <w:rFonts w:cs="Marianne" w:ascii="Marianne" w:hAnsi="Marianne"/>
          <w:b/>
          <w:color w:val="000000"/>
          <w:sz w:val="22"/>
          <w:szCs w:val="22"/>
          <w:shd w:fill="auto" w:val="clear"/>
        </w:rPr>
        <w:t>Réf : SGAMISUD-AOO-2026-03-</w:t>
      </w:r>
      <w:r>
        <w:rPr>
          <w:rFonts w:cs="Marianne" w:ascii="Marianne" w:hAnsi="Marianne"/>
          <w:b/>
          <w:color w:val="000000"/>
          <w:sz w:val="22"/>
          <w:szCs w:val="22"/>
          <w:shd w:fill="auto" w:val="clear"/>
        </w:rPr>
        <w:t>15</w:t>
      </w:r>
    </w:p>
    <w:p>
      <w:pPr>
        <w:pStyle w:val="Normal"/>
        <w:jc w:val="both"/>
        <w:rPr>
          <w:rFonts w:ascii="Marianne" w:hAnsi="Marianne" w:cs="Marianne"/>
          <w:b/>
          <w:bCs/>
          <w:iCs/>
          <w:caps/>
          <w:color w:val="000000"/>
          <w:sz w:val="22"/>
          <w:szCs w:val="22"/>
        </w:rPr>
      </w:pPr>
      <w:r>
        <w:rPr>
          <w:rFonts w:cs="Marianne" w:ascii="Marianne" w:hAnsi="Marianne"/>
          <w:b/>
          <w:bCs/>
          <w:iCs/>
          <w:caps/>
          <w:color w:val="000000"/>
          <w:sz w:val="22"/>
          <w:szCs w:val="22"/>
        </w:rPr>
      </w:r>
    </w:p>
    <w:p>
      <w:pPr>
        <w:pStyle w:val="Normal"/>
        <w:jc w:val="center"/>
        <w:rPr>
          <w:rFonts w:ascii="Marianne" w:hAnsi="Marianne" w:cs="Marianne"/>
          <w:b/>
          <w:bCs/>
          <w:iCs/>
          <w:caps/>
          <w:color w:val="000000"/>
        </w:rPr>
      </w:pPr>
      <w:r>
        <w:rPr>
          <w:rFonts w:cs="Marianne" w:ascii="Marianne" w:hAnsi="Marianne"/>
          <w:b/>
          <w:bCs/>
          <w:iCs/>
          <w:caps/>
          <w:color w:val="000000"/>
        </w:rPr>
        <w:t xml:space="preserve">Fiche d’information relative à la clause sociale </w:t>
      </w:r>
    </w:p>
    <w:p>
      <w:pPr>
        <w:pStyle w:val="Normal"/>
        <w:jc w:val="center"/>
        <w:rPr>
          <w:rFonts w:ascii="Marianne" w:hAnsi="Marianne" w:cs="Marianne"/>
          <w:b/>
          <w:bCs/>
          <w:iCs/>
          <w:caps/>
          <w:color w:val="000000"/>
        </w:rPr>
      </w:pPr>
      <w:r>
        <w:rPr>
          <w:rFonts w:cs="Marianne" w:ascii="Marianne" w:hAnsi="Marianne"/>
          <w:b/>
          <w:bCs/>
          <w:iCs/>
          <w:caps/>
          <w:color w:val="000000"/>
        </w:rPr>
      </w:r>
    </w:p>
    <w:p>
      <w:pPr>
        <w:pStyle w:val="Normal"/>
        <w:tabs>
          <w:tab w:val="clear" w:pos="709"/>
          <w:tab w:val="right" w:pos="9214" w:leader="dot"/>
        </w:tabs>
        <w:jc w:val="both"/>
        <w:rPr>
          <w:rFonts w:ascii="Marianne" w:hAnsi="Marianne" w:cs="Marianne"/>
          <w:color w:val="000000"/>
          <w:sz w:val="22"/>
          <w:szCs w:val="22"/>
        </w:rPr>
      </w:pPr>
      <w:r>
        <w:rPr>
          <w:rFonts w:cs="Marianne" w:ascii="Marianne" w:hAnsi="Marianne"/>
          <w:color w:val="000000"/>
          <w:sz w:val="22"/>
          <w:szCs w:val="22"/>
        </w:rPr>
        <w:t>Afin de promouvoir l’emploi des personnes en insertion, la lutte contre le chômage et de prendre en compte le développement économique et le progrès social, le présent marché intègre une clause sociale d’insertion relative à l’article L.2112-2 du Code de la commande publique, dont l’application est obligatoire.</w:t>
      </w:r>
    </w:p>
    <w:p>
      <w:pPr>
        <w:pStyle w:val="Normal"/>
        <w:tabs>
          <w:tab w:val="clear" w:pos="709"/>
          <w:tab w:val="right" w:pos="9214" w:leader="dot"/>
        </w:tabs>
        <w:jc w:val="both"/>
        <w:rPr>
          <w:rFonts w:ascii="Marianne" w:hAnsi="Marianne" w:cs="Marianne"/>
          <w:color w:val="000000"/>
          <w:sz w:val="22"/>
          <w:szCs w:val="22"/>
        </w:rPr>
      </w:pPr>
      <w:r>
        <w:rPr>
          <w:rFonts w:cs="Marianne" w:ascii="Marianne" w:hAnsi="Marianne"/>
          <w:color w:val="000000"/>
          <w:sz w:val="22"/>
          <w:szCs w:val="22"/>
        </w:rPr>
      </w:r>
    </w:p>
    <w:p>
      <w:pPr>
        <w:pStyle w:val="Normal"/>
        <w:tabs>
          <w:tab w:val="clear" w:pos="709"/>
          <w:tab w:val="right" w:pos="9214" w:leader="dot"/>
        </w:tabs>
        <w:jc w:val="both"/>
        <w:rPr>
          <w:rFonts w:ascii="Marianne" w:hAnsi="Marianne" w:cs="Marianne"/>
          <w:color w:val="000000"/>
          <w:sz w:val="22"/>
          <w:szCs w:val="22"/>
        </w:rPr>
      </w:pPr>
      <w:r>
        <w:rPr>
          <w:rFonts w:cs="Marianne" w:ascii="Marianne" w:hAnsi="Marianne"/>
          <w:color w:val="000000"/>
          <w:sz w:val="22"/>
          <w:szCs w:val="22"/>
        </w:rPr>
        <w:t xml:space="preserve">En signant l’acte d’engagement du marché l’attributaire </w:t>
      </w:r>
      <w:r>
        <w:rPr>
          <w:rFonts w:cs="Marianne" w:ascii="Marianne" w:hAnsi="Marianne"/>
          <w:color w:val="000000"/>
          <w:sz w:val="22"/>
          <w:szCs w:val="22"/>
          <w:shd w:fill="FFFF00" w:val="clear"/>
        </w:rPr>
        <w:t>………………….……………….……………….</w:t>
      </w:r>
    </w:p>
    <w:p>
      <w:pPr>
        <w:pStyle w:val="Normal"/>
        <w:tabs>
          <w:tab w:val="clear" w:pos="709"/>
          <w:tab w:val="right" w:pos="9214" w:leader="dot"/>
        </w:tabs>
        <w:jc w:val="both"/>
        <w:rPr>
          <w:rFonts w:ascii="Marianne" w:hAnsi="Marianne" w:cs="Marianne"/>
          <w:color w:val="000000"/>
          <w:sz w:val="22"/>
          <w:szCs w:val="22"/>
        </w:rPr>
      </w:pPr>
      <w:r>
        <w:rPr>
          <w:rFonts w:cs="Marianne" w:ascii="Marianne" w:hAnsi="Marianne"/>
          <w:color w:val="000000"/>
          <w:sz w:val="22"/>
          <w:szCs w:val="22"/>
        </w:rPr>
        <w:t>est soumis aux obligations suivantes :</w:t>
      </w:r>
    </w:p>
    <w:p>
      <w:pPr>
        <w:pStyle w:val="Normal"/>
        <w:tabs>
          <w:tab w:val="clear" w:pos="709"/>
          <w:tab w:val="right" w:pos="9214" w:leader="dot"/>
        </w:tabs>
        <w:jc w:val="both"/>
        <w:rPr>
          <w:rFonts w:ascii="Marianne" w:hAnsi="Marianne" w:cs="Marianne"/>
          <w:color w:val="000000"/>
          <w:sz w:val="22"/>
          <w:szCs w:val="22"/>
        </w:rPr>
      </w:pPr>
      <w:r>
        <w:rPr>
          <w:rFonts w:cs="Marianne" w:ascii="Marianne" w:hAnsi="Marianne"/>
          <w:color w:val="000000"/>
          <w:sz w:val="22"/>
          <w:szCs w:val="22"/>
        </w:rPr>
      </w:r>
    </w:p>
    <w:p>
      <w:pPr>
        <w:pStyle w:val="Normal"/>
        <w:numPr>
          <w:ilvl w:val="0"/>
          <w:numId w:val="1"/>
        </w:numPr>
        <w:spacing w:before="57" w:after="57"/>
        <w:jc w:val="both"/>
        <w:rPr>
          <w:rFonts w:ascii="Marianne" w:hAnsi="Marianne" w:eastAsia="Calibri" w:cs="Marianne"/>
          <w:iCs/>
          <w:color w:val="000000"/>
          <w:kern w:val="0"/>
          <w:sz w:val="22"/>
          <w:szCs w:val="22"/>
          <w:lang w:eastAsia="ar-SA"/>
        </w:rPr>
      </w:pPr>
      <w:r>
        <w:rPr>
          <w:rFonts w:cs="Marianne" w:ascii="Marianne" w:hAnsi="Marianne"/>
          <w:color w:val="000000"/>
          <w:sz w:val="22"/>
          <w:szCs w:val="22"/>
        </w:rPr>
        <w:t>prendre contact avec le</w:t>
      </w:r>
      <w:r>
        <w:rPr>
          <w:rFonts w:cs="Marianne" w:ascii="Marianne" w:hAnsi="Marianne"/>
          <w:color w:val="000000"/>
          <w:sz w:val="22"/>
          <w:szCs w:val="22"/>
          <w:shd w:fill="auto" w:val="clear"/>
        </w:rPr>
        <w:t xml:space="preserve"> facilitateur désigné à l’article 6.9.3 «</w:t>
      </w:r>
      <w:r>
        <w:rPr>
          <w:rFonts w:cs="Courier New" w:ascii="Courier New" w:hAnsi="Courier New"/>
          <w:color w:val="000000"/>
          <w:sz w:val="22"/>
          <w:szCs w:val="22"/>
          <w:shd w:fill="auto" w:val="clear"/>
        </w:rPr>
        <w:t> </w:t>
      </w:r>
      <w:r>
        <w:rPr>
          <w:rFonts w:cs="Marianne" w:ascii="Marianne" w:hAnsi="Marianne"/>
          <w:color w:val="000000"/>
          <w:sz w:val="22"/>
          <w:szCs w:val="22"/>
          <w:shd w:fill="auto" w:val="clear"/>
        </w:rPr>
        <w:t xml:space="preserve">Modalités de mise en œuvre» </w:t>
      </w:r>
      <w:r>
        <w:rPr>
          <w:rFonts w:eastAsia="Calibri" w:cs="Marianne" w:ascii="Marianne" w:hAnsi="Marianne"/>
          <w:iCs/>
          <w:color w:val="000000"/>
          <w:kern w:val="0"/>
          <w:sz w:val="22"/>
          <w:szCs w:val="22"/>
          <w:shd w:fill="auto" w:val="clear"/>
          <w:lang w:eastAsia="ar-SA"/>
        </w:rPr>
        <w:t>du cahier des clauses administratives particulières</w:t>
      </w:r>
      <w:r>
        <w:rPr>
          <w:rFonts w:cs="Marianne" w:ascii="Marianne" w:hAnsi="Marianne"/>
          <w:color w:val="000000"/>
          <w:sz w:val="22"/>
          <w:szCs w:val="22"/>
          <w:shd w:fill="auto" w:val="clear"/>
        </w:rPr>
        <w:t xml:space="preserve"> ;</w:t>
      </w:r>
    </w:p>
    <w:p>
      <w:pPr>
        <w:pStyle w:val="Corpsdetexte21"/>
        <w:numPr>
          <w:ilvl w:val="0"/>
          <w:numId w:val="1"/>
        </w:numPr>
        <w:tabs>
          <w:tab w:val="clear" w:pos="709"/>
          <w:tab w:val="left" w:pos="360" w:leader="none"/>
          <w:tab w:val="left" w:pos="4395" w:leader="none"/>
          <w:tab w:val="right" w:pos="5103" w:leader="underscore"/>
        </w:tabs>
        <w:snapToGrid w:val="false"/>
        <w:spacing w:before="57" w:after="57"/>
        <w:rPr>
          <w:rFonts w:ascii="Marianne" w:hAnsi="Marianne" w:cs="Marianne"/>
          <w:color w:val="000000"/>
          <w:sz w:val="12"/>
          <w:szCs w:val="12"/>
        </w:rPr>
      </w:pPr>
      <w:r>
        <w:rPr>
          <w:rFonts w:eastAsia="Calibri" w:cs="Marianne" w:ascii="Marianne" w:hAnsi="Marianne"/>
          <w:iCs/>
          <w:color w:val="000000"/>
          <w:kern w:val="0"/>
          <w:sz w:val="22"/>
          <w:szCs w:val="22"/>
          <w:lang w:eastAsia="ar-SA"/>
        </w:rPr>
        <w:t>réserv</w:t>
      </w:r>
      <w:r>
        <w:rPr>
          <w:rFonts w:eastAsia="Calibri" w:cs="Marianne" w:ascii="Marianne" w:hAnsi="Marianne"/>
          <w:iCs/>
          <w:color w:val="000000"/>
          <w:kern w:val="0"/>
          <w:sz w:val="22"/>
          <w:szCs w:val="22"/>
          <w:shd w:fill="auto" w:val="clear"/>
          <w:lang w:eastAsia="ar-SA"/>
        </w:rPr>
        <w:t>er, pendant la durée d’exécution du marché concerné, le nombre d’heures d’insertion indiqué à l’article 6.1.1 «</w:t>
      </w:r>
      <w:r>
        <w:rPr>
          <w:rFonts w:eastAsia="Calibri" w:cs="Courier New" w:ascii="Courier New" w:hAnsi="Courier New"/>
          <w:iCs/>
          <w:color w:val="000000"/>
          <w:kern w:val="0"/>
          <w:sz w:val="22"/>
          <w:szCs w:val="22"/>
          <w:shd w:fill="auto" w:val="clear"/>
          <w:lang w:eastAsia="ar-SA"/>
        </w:rPr>
        <w:t> </w:t>
      </w:r>
      <w:r>
        <w:rPr>
          <w:rFonts w:eastAsia="Calibri" w:cs="Marianne" w:ascii="Marianne" w:hAnsi="Marianne"/>
          <w:iCs/>
          <w:color w:val="000000"/>
          <w:kern w:val="0"/>
          <w:sz w:val="22"/>
          <w:szCs w:val="22"/>
          <w:shd w:fill="auto" w:val="clear"/>
          <w:lang w:eastAsia="ar-SA"/>
        </w:rPr>
        <w:t>Insertion professionnelle</w:t>
      </w:r>
      <w:r>
        <w:rPr>
          <w:rFonts w:eastAsia="Calibri" w:cs="Courier New" w:ascii="Courier New" w:hAnsi="Courier New"/>
          <w:iCs/>
          <w:color w:val="000000"/>
          <w:kern w:val="0"/>
          <w:sz w:val="22"/>
          <w:szCs w:val="22"/>
          <w:shd w:fill="auto" w:val="clear"/>
          <w:lang w:eastAsia="ar-SA"/>
        </w:rPr>
        <w:t> </w:t>
      </w:r>
      <w:r>
        <w:rPr>
          <w:rFonts w:eastAsia="Calibri" w:cs="Marianne" w:ascii="Marianne" w:hAnsi="Marianne"/>
          <w:iCs/>
          <w:color w:val="000000"/>
          <w:kern w:val="0"/>
          <w:sz w:val="22"/>
          <w:szCs w:val="22"/>
          <w:shd w:fill="auto" w:val="clear"/>
          <w:lang w:eastAsia="ar-SA"/>
        </w:rPr>
        <w:t>» du cahier des clauses administratives particulières :</w:t>
      </w:r>
    </w:p>
    <w:p>
      <w:pPr>
        <w:pStyle w:val="Normal"/>
        <w:rPr>
          <w:rFonts w:ascii="Marianne" w:hAnsi="Marianne" w:cs="Marianne"/>
          <w:color w:val="000000"/>
          <w:sz w:val="12"/>
          <w:szCs w:val="12"/>
        </w:rPr>
      </w:pPr>
      <w:r>
        <w:rPr>
          <w:rFonts w:cs="Marianne" w:ascii="Marianne" w:hAnsi="Marianne"/>
          <w:color w:val="000000"/>
          <w:sz w:val="12"/>
          <w:szCs w:val="12"/>
        </w:rPr>
      </w:r>
    </w:p>
    <w:tbl>
      <w:tblPr>
        <w:tblW w:w="10031" w:type="dxa"/>
        <w:jc w:val="start"/>
        <w:tblInd w:w="0" w:type="dxa"/>
        <w:tblLayout w:type="fixed"/>
        <w:tblCellMar>
          <w:top w:w="0" w:type="dxa"/>
          <w:start w:w="108" w:type="dxa"/>
          <w:bottom w:w="0" w:type="dxa"/>
          <w:end w:w="108" w:type="dxa"/>
        </w:tblCellMar>
      </w:tblPr>
      <w:tblGrid>
        <w:gridCol w:w="3227"/>
        <w:gridCol w:w="4678"/>
        <w:gridCol w:w="2126"/>
      </w:tblGrid>
      <w:tr>
        <w:trPr/>
        <w:tc>
          <w:tcPr>
            <w:tcW w:w="322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jc w:val="center"/>
              <w:rPr>
                <w:rFonts w:ascii="Marianne" w:hAnsi="Marianne" w:cs="Marianne"/>
                <w:b/>
                <w:color w:val="000000"/>
                <w:sz w:val="22"/>
                <w:szCs w:val="22"/>
              </w:rPr>
            </w:pPr>
            <w:r>
              <w:rPr>
                <w:rFonts w:cs="Marianne" w:ascii="Marianne" w:hAnsi="Marianne"/>
                <w:b/>
                <w:color w:val="000000"/>
                <w:sz w:val="22"/>
                <w:szCs w:val="22"/>
              </w:rPr>
              <w:t>Lot concerné par la clause</w:t>
            </w:r>
          </w:p>
        </w:tc>
        <w:tc>
          <w:tcPr>
            <w:tcW w:w="4678"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jc w:val="center"/>
              <w:rPr>
                <w:rFonts w:ascii="Marianne" w:hAnsi="Marianne" w:cs="Marianne"/>
                <w:b/>
                <w:color w:val="000000"/>
                <w:sz w:val="22"/>
                <w:szCs w:val="22"/>
              </w:rPr>
            </w:pPr>
            <w:r>
              <w:rPr>
                <w:rFonts w:cs="Marianne" w:ascii="Marianne" w:hAnsi="Marianne"/>
                <w:b/>
                <w:color w:val="000000"/>
                <w:sz w:val="22"/>
                <w:szCs w:val="22"/>
              </w:rPr>
              <w:t>Nombre d’heures d’insertion a minima</w:t>
            </w:r>
          </w:p>
        </w:tc>
        <w:tc>
          <w:tcPr>
            <w:tcW w:w="2126"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ind w:end="-108"/>
              <w:jc w:val="center"/>
              <w:rPr>
                <w:rFonts w:ascii="Marianne" w:hAnsi="Marianne" w:cs="Marianne"/>
                <w:b/>
                <w:color w:val="000000"/>
                <w:sz w:val="20"/>
                <w:szCs w:val="20"/>
              </w:rPr>
            </w:pPr>
            <w:r>
              <w:rPr>
                <w:rFonts w:cs="Marianne" w:ascii="Marianne" w:hAnsi="Marianne"/>
                <w:b/>
                <w:color w:val="000000"/>
                <w:sz w:val="20"/>
                <w:szCs w:val="20"/>
              </w:rPr>
              <w:t>Cocher la case concernée</w:t>
            </w:r>
          </w:p>
        </w:tc>
      </w:tr>
      <w:tr>
        <w:trPr/>
        <w:tc>
          <w:tcPr>
            <w:tcW w:w="3227"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jc w:val="center"/>
              <w:rPr>
                <w:rFonts w:ascii="Marianne" w:hAnsi="Marianne" w:cs="Marianne"/>
                <w:color w:val="000000"/>
                <w:sz w:val="22"/>
                <w:szCs w:val="22"/>
              </w:rPr>
            </w:pPr>
            <w:r>
              <w:rPr>
                <w:rFonts w:cs="Marianne" w:ascii="Marianne" w:hAnsi="Marianne"/>
                <w:color w:val="000000"/>
                <w:sz w:val="22"/>
                <w:szCs w:val="22"/>
              </w:rPr>
              <w:t>Lot unique</w:t>
            </w:r>
          </w:p>
        </w:tc>
        <w:tc>
          <w:tcPr>
            <w:tcW w:w="4678"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jc w:val="center"/>
              <w:rPr/>
            </w:pPr>
            <w:r>
              <w:rPr>
                <w:rFonts w:cs="Marianne" w:ascii="Marianne" w:hAnsi="Marianne"/>
                <w:color w:val="000000"/>
                <w:sz w:val="22"/>
                <w:szCs w:val="22"/>
              </w:rPr>
              <w:t xml:space="preserve">    </w:t>
            </w:r>
            <w:r>
              <w:rPr>
                <w:rFonts w:cs="Marianne" w:ascii="Marianne" w:hAnsi="Marianne"/>
                <w:color w:val="000000"/>
                <w:sz w:val="22"/>
                <w:szCs w:val="22"/>
              </w:rPr>
              <w:t>Soit d’une durée minimale de 4 mois réalisés dans le cas d’un stage</w:t>
            </w:r>
          </w:p>
        </w:tc>
        <w:tc>
          <w:tcPr>
            <w:tcW w:w="2126" w:type="dxa"/>
            <w:tcBorders>
              <w:top w:val="single" w:sz="4" w:space="0" w:color="000000"/>
              <w:start w:val="single" w:sz="4" w:space="0" w:color="000000"/>
              <w:bottom w:val="single" w:sz="4" w:space="0" w:color="000000"/>
              <w:end w:val="single" w:sz="4" w:space="0" w:color="000000"/>
            </w:tcBorders>
            <w:vAlign w:val="center"/>
          </w:tcPr>
          <w:p>
            <w:pPr>
              <w:pStyle w:val="Normal"/>
              <w:spacing w:lineRule="auto" w:line="276"/>
              <w:jc w:val="center"/>
              <w:rPr>
                <w:rFonts w:ascii="Wingdings" w:hAnsi="Wingdings" w:eastAsia="Wingdings" w:cs="Wingdings"/>
                <w:color w:val="000000"/>
              </w:rPr>
            </w:pPr>
            <w:r>
              <w:rPr>
                <w:rFonts w:eastAsia="Wingdings" w:cs="Wingdings" w:ascii="Wingdings" w:hAnsi="Wingdings"/>
                <w:color w:val="000000"/>
              </w:rPr>
              <w:sym w:font="Wingdings" w:char="f0a8"/>
            </w:r>
          </w:p>
        </w:tc>
      </w:tr>
      <w:tr>
        <w:trPr/>
        <w:tc>
          <w:tcPr>
            <w:tcW w:w="3227" w:type="dxa"/>
            <w:tcBorders>
              <w:start w:val="single" w:sz="4" w:space="0" w:color="000000"/>
              <w:bottom w:val="single" w:sz="4" w:space="0" w:color="000000"/>
              <w:end w:val="single" w:sz="4" w:space="0" w:color="000000"/>
            </w:tcBorders>
            <w:vAlign w:val="center"/>
          </w:tcPr>
          <w:p>
            <w:pPr>
              <w:pStyle w:val="Normal"/>
              <w:spacing w:lineRule="auto" w:line="276"/>
              <w:jc w:val="center"/>
              <w:rPr>
                <w:rFonts w:ascii="Marianne" w:hAnsi="Marianne" w:cs="Marianne"/>
                <w:color w:val="000000"/>
                <w:sz w:val="22"/>
                <w:szCs w:val="22"/>
              </w:rPr>
            </w:pPr>
            <w:r>
              <w:rPr>
                <w:rFonts w:cs="Marianne" w:ascii="Marianne" w:hAnsi="Marianne"/>
                <w:color w:val="000000"/>
                <w:sz w:val="22"/>
                <w:szCs w:val="22"/>
              </w:rPr>
              <w:t>Lot unique</w:t>
            </w:r>
          </w:p>
        </w:tc>
        <w:tc>
          <w:tcPr>
            <w:tcW w:w="4678" w:type="dxa"/>
            <w:tcBorders>
              <w:start w:val="single" w:sz="4" w:space="0" w:color="000000"/>
              <w:bottom w:val="single" w:sz="4" w:space="0" w:color="000000"/>
              <w:end w:val="single" w:sz="4" w:space="0" w:color="000000"/>
            </w:tcBorders>
            <w:vAlign w:val="center"/>
          </w:tcPr>
          <w:p>
            <w:pPr>
              <w:pStyle w:val="Normal"/>
              <w:spacing w:lineRule="auto" w:line="276"/>
              <w:jc w:val="center"/>
              <w:rPr/>
            </w:pPr>
            <w:r>
              <w:rPr>
                <w:rFonts w:cs="Marianne" w:ascii="Marianne" w:hAnsi="Marianne"/>
                <w:color w:val="000000"/>
                <w:sz w:val="22"/>
                <w:szCs w:val="22"/>
              </w:rPr>
              <w:t xml:space="preserve">    </w:t>
            </w:r>
            <w:r>
              <w:rPr>
                <w:rFonts w:cs="Marianne" w:ascii="Marianne" w:hAnsi="Marianne"/>
                <w:color w:val="000000"/>
                <w:sz w:val="22"/>
                <w:szCs w:val="22"/>
              </w:rPr>
              <w:t>Soit un minimum de 500 heures d'insertion pour toute autre mesure qu'un stage. Si la formation fait partie du contrat de travail (contrat de professionnalisation, contrat d'apprentissage, etc.), les heures de formation sont comptabilisées au titre des heures d’insertion</w:t>
            </w:r>
          </w:p>
        </w:tc>
        <w:tc>
          <w:tcPr>
            <w:tcW w:w="2126" w:type="dxa"/>
            <w:tcBorders>
              <w:start w:val="single" w:sz="4" w:space="0" w:color="000000"/>
              <w:bottom w:val="single" w:sz="4" w:space="0" w:color="000000"/>
              <w:end w:val="single" w:sz="4" w:space="0" w:color="000000"/>
            </w:tcBorders>
            <w:vAlign w:val="center"/>
          </w:tcPr>
          <w:p>
            <w:pPr>
              <w:pStyle w:val="Normal"/>
              <w:spacing w:lineRule="auto" w:line="276"/>
              <w:jc w:val="center"/>
              <w:rPr>
                <w:rFonts w:ascii="Wingdings" w:hAnsi="Wingdings" w:eastAsia="Wingdings" w:cs="Wingdings"/>
                <w:color w:val="000000"/>
              </w:rPr>
            </w:pPr>
            <w:r>
              <w:rPr>
                <w:rFonts w:eastAsia="Wingdings" w:cs="Wingdings" w:ascii="Wingdings" w:hAnsi="Wingdings"/>
                <w:color w:val="000000"/>
              </w:rPr>
              <w:sym w:font="Wingdings" w:char="f0a8"/>
            </w:r>
          </w:p>
        </w:tc>
      </w:tr>
    </w:tbl>
    <w:p>
      <w:pPr>
        <w:pStyle w:val="Normal"/>
        <w:rPr>
          <w:rFonts w:ascii="Marianne" w:hAnsi="Marianne" w:cs="Marianne"/>
          <w:color w:val="000000"/>
          <w:sz w:val="12"/>
          <w:szCs w:val="12"/>
        </w:rPr>
      </w:pPr>
      <w:r>
        <w:rPr>
          <w:rFonts w:cs="Marianne" w:ascii="Marianne" w:hAnsi="Marianne"/>
          <w:color w:val="000000"/>
          <w:sz w:val="12"/>
          <w:szCs w:val="12"/>
        </w:rPr>
      </w:r>
    </w:p>
    <w:p>
      <w:pPr>
        <w:pStyle w:val="Normal"/>
        <w:rPr>
          <w:rFonts w:ascii="Marianne" w:hAnsi="Marianne" w:cs="Marianne"/>
          <w:color w:val="000000"/>
          <w:sz w:val="12"/>
          <w:szCs w:val="12"/>
        </w:rPr>
      </w:pPr>
      <w:r>
        <w:rPr>
          <w:rFonts w:cs="Marianne" w:ascii="Marianne" w:hAnsi="Marianne"/>
          <w:color w:val="000000"/>
          <w:sz w:val="12"/>
          <w:szCs w:val="12"/>
        </w:rPr>
      </w:r>
    </w:p>
    <w:p>
      <w:pPr>
        <w:pStyle w:val="Normal"/>
        <w:jc w:val="both"/>
        <w:rPr>
          <w:rFonts w:ascii="Marianne" w:hAnsi="Marianne" w:cs="Marianne"/>
          <w:color w:val="000000"/>
          <w:sz w:val="12"/>
          <w:szCs w:val="12"/>
        </w:rPr>
      </w:pPr>
      <w:r>
        <w:rPr>
          <w:rFonts w:cs="Marianne" w:ascii="Marianne" w:hAnsi="Marianne"/>
          <w:color w:val="000000"/>
          <w:sz w:val="22"/>
          <w:szCs w:val="22"/>
        </w:rPr>
        <w:t>Le référent pour la mise en place et le suivi de la clause sociale est :</w:t>
      </w:r>
    </w:p>
    <w:p>
      <w:pPr>
        <w:pStyle w:val="Normal"/>
        <w:jc w:val="both"/>
        <w:rPr>
          <w:rFonts w:ascii="Marianne" w:hAnsi="Marianne" w:cs="Marianne"/>
          <w:color w:val="000000"/>
          <w:sz w:val="12"/>
          <w:szCs w:val="12"/>
        </w:rPr>
      </w:pPr>
      <w:r>
        <w:rPr>
          <w:rFonts w:cs="Marianne" w:ascii="Marianne" w:hAnsi="Marianne"/>
          <w:color w:val="000000"/>
          <w:sz w:val="12"/>
          <w:szCs w:val="12"/>
        </w:rPr>
      </w:r>
    </w:p>
    <w:p>
      <w:pPr>
        <w:pStyle w:val="Normal"/>
        <w:spacing w:before="57" w:after="57"/>
        <w:jc w:val="both"/>
        <w:rPr>
          <w:rFonts w:ascii="Marianne" w:hAnsi="Marianne" w:cs="Marianne"/>
          <w:color w:val="000000"/>
          <w:sz w:val="22"/>
          <w:szCs w:val="22"/>
        </w:rPr>
      </w:pPr>
      <w:r>
        <w:rPr>
          <w:rFonts w:cs="Marianne" w:ascii="Marianne" w:hAnsi="Marianne"/>
          <w:color w:val="000000"/>
          <w:sz w:val="22"/>
          <w:szCs w:val="22"/>
        </w:rPr>
        <w:t>Nom, Prénom : …………………………………………………………………………………</w:t>
      </w:r>
    </w:p>
    <w:p>
      <w:pPr>
        <w:pStyle w:val="Normal"/>
        <w:spacing w:before="57" w:after="57"/>
        <w:jc w:val="both"/>
        <w:rPr>
          <w:rFonts w:ascii="Marianne" w:hAnsi="Marianne" w:cs="Marianne"/>
          <w:color w:val="000000"/>
          <w:sz w:val="22"/>
          <w:szCs w:val="22"/>
        </w:rPr>
      </w:pPr>
      <w:r>
        <w:rPr>
          <w:rFonts w:cs="Marianne" w:ascii="Marianne" w:hAnsi="Marianne"/>
          <w:color w:val="000000"/>
          <w:sz w:val="22"/>
          <w:szCs w:val="22"/>
        </w:rPr>
        <w:t>Fonction : …………………………………….....................................................</w:t>
      </w:r>
    </w:p>
    <w:p>
      <w:pPr>
        <w:pStyle w:val="Normal"/>
        <w:spacing w:before="57" w:after="57"/>
        <w:jc w:val="both"/>
        <w:rPr>
          <w:rFonts w:ascii="Marianne" w:hAnsi="Marianne" w:cs="Marianne"/>
          <w:color w:val="000000"/>
          <w:sz w:val="22"/>
          <w:szCs w:val="22"/>
        </w:rPr>
      </w:pPr>
      <w:r>
        <w:rPr>
          <w:rFonts w:cs="Marianne" w:ascii="Marianne" w:hAnsi="Marianne"/>
          <w:color w:val="000000"/>
          <w:sz w:val="22"/>
          <w:szCs w:val="22"/>
        </w:rPr>
        <w:t>Téléphone</w:t>
      </w:r>
      <w:r>
        <w:rPr>
          <w:rFonts w:cs="Courier New" w:ascii="Courier New" w:hAnsi="Courier New"/>
          <w:color w:val="000000"/>
          <w:sz w:val="22"/>
          <w:szCs w:val="22"/>
        </w:rPr>
        <w:t> </w:t>
      </w:r>
      <w:r>
        <w:rPr>
          <w:rFonts w:cs="Marianne" w:ascii="Marianne" w:hAnsi="Marianne"/>
          <w:color w:val="000000"/>
          <w:sz w:val="22"/>
          <w:szCs w:val="22"/>
        </w:rPr>
        <w:t>: ……………………………………………………………………………………..</w:t>
      </w:r>
    </w:p>
    <w:p>
      <w:pPr>
        <w:pStyle w:val="Normal"/>
        <w:spacing w:before="57" w:after="57"/>
        <w:jc w:val="both"/>
        <w:rPr>
          <w:rFonts w:ascii="Marianne" w:hAnsi="Marianne" w:eastAsia="Times New Roman" w:cs="Marianne"/>
          <w:b/>
          <w:color w:val="000000"/>
          <w:kern w:val="0"/>
          <w:sz w:val="20"/>
          <w:szCs w:val="20"/>
          <w:lang w:eastAsia="fr-FR" w:bidi="ar-SA"/>
        </w:rPr>
      </w:pPr>
      <w:r>
        <w:rPr>
          <w:rFonts w:cs="Marianne" w:ascii="Marianne" w:hAnsi="Marianne"/>
          <w:color w:val="000000"/>
          <w:sz w:val="22"/>
          <w:szCs w:val="22"/>
        </w:rPr>
        <w:t>Courriel</w:t>
      </w:r>
      <w:r>
        <w:rPr>
          <w:rFonts w:cs="Courier New" w:ascii="Courier New" w:hAnsi="Courier New"/>
          <w:color w:val="000000"/>
          <w:sz w:val="22"/>
          <w:szCs w:val="22"/>
        </w:rPr>
        <w:t> </w:t>
      </w:r>
      <w:r>
        <w:rPr>
          <w:rFonts w:cs="Marianne" w:ascii="Marianne" w:hAnsi="Marianne"/>
          <w:color w:val="000000"/>
          <w:sz w:val="22"/>
          <w:szCs w:val="22"/>
        </w:rPr>
        <w:t>: …………………………………………………………………………………………..</w:t>
      </w:r>
    </w:p>
    <w:p>
      <w:pPr>
        <w:pStyle w:val="Normal"/>
        <w:tabs>
          <w:tab w:val="clear" w:pos="709"/>
          <w:tab w:val="right" w:pos="9214" w:leader="dot"/>
        </w:tabs>
        <w:jc w:val="both"/>
        <w:rPr>
          <w:rFonts w:ascii="Marianne" w:hAnsi="Marianne" w:eastAsia="Times New Roman" w:cs="Marianne"/>
          <w:b/>
          <w:color w:val="000000"/>
          <w:kern w:val="0"/>
          <w:sz w:val="20"/>
          <w:szCs w:val="20"/>
          <w:lang w:eastAsia="fr-FR" w:bidi="ar-SA"/>
        </w:rPr>
      </w:pPr>
      <w:r>
        <w:rPr>
          <w:rFonts w:eastAsia="Times New Roman" w:cs="Marianne" w:ascii="Marianne" w:hAnsi="Marianne"/>
          <w:b/>
          <w:color w:val="000000"/>
          <w:kern w:val="0"/>
          <w:sz w:val="20"/>
          <w:szCs w:val="20"/>
          <w:lang w:eastAsia="fr-FR" w:bidi="ar-SA"/>
        </w:rPr>
      </w:r>
    </w:p>
    <w:p>
      <w:pPr>
        <w:pStyle w:val="Normal"/>
        <w:jc w:val="center"/>
        <w:rPr>
          <w:rFonts w:ascii="Marianne" w:hAnsi="Marianne" w:eastAsia="Times New Roman" w:cs="Marianne"/>
          <w:b/>
          <w:color w:val="000000"/>
          <w:kern w:val="0"/>
          <w:sz w:val="20"/>
          <w:szCs w:val="20"/>
          <w:lang w:eastAsia="fr-FR" w:bidi="ar-SA"/>
        </w:rPr>
      </w:pPr>
      <w:r>
        <w:rPr>
          <w:rFonts w:eastAsia="Times New Roman" w:cs="Marianne" w:ascii="Marianne" w:hAnsi="Marianne"/>
          <w:b/>
          <w:color w:val="000000"/>
          <w:kern w:val="0"/>
          <w:sz w:val="20"/>
          <w:szCs w:val="20"/>
          <w:lang w:eastAsia="fr-FR" w:bidi="ar-SA"/>
        </w:rPr>
      </w:r>
    </w:p>
    <w:sectPr>
      <w:type w:val="nextPage"/>
      <w:pgSz w:w="11906" w:h="16838"/>
      <w:pgMar w:left="1134" w:right="1134" w:gutter="0" w:header="0" w:top="993" w:footer="0" w:bottom="568"/>
      <w:pgNumType w:fmt="decimal"/>
      <w:formProt w:val="false"/>
      <w:textDirection w:val="lrTb"/>
      <w:docGrid w:type="default" w:linePitch="312" w:charSpace="429496074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1"/>
    <w:family w:val="auto"/>
    <w:pitch w:val="default"/>
  </w:font>
  <w:font w:name="Courier New">
    <w:charset w:val="00" w:characterSet="windows-1252"/>
    <w:family w:val="modern"/>
    <w:pitch w:val="default"/>
  </w:font>
  <w:font w:name="Wingdings">
    <w:charset w:val="02"/>
    <w:family w:val="auto"/>
    <w:pitch w:val="variable"/>
  </w:font>
  <w:font w:name="OpenSymbol">
    <w:altName w:val="Arial Unicode MS"/>
    <w:charset w:val="00" w:characterSet="windows-1252"/>
    <w:family w:val="auto"/>
    <w:pitch w:val="variable"/>
  </w:font>
  <w:font w:name="Calibri">
    <w:charset w:val="00" w:characterSet="windows-1252"/>
    <w:family w:val="swiss"/>
    <w:pitch w:val="variable"/>
  </w:font>
  <w:font w:name="Liberation Sans">
    <w:altName w:val="Arial"/>
    <w:charset w:val="00" w:characterSet="windows-1252"/>
    <w:family w:val="swiss"/>
    <w:pitch w:val="variable"/>
  </w:font>
  <w:font w:name="Times">
    <w:altName w:val="Times New Roman"/>
    <w:charset w:val="00" w:characterSet="windows-1252"/>
    <w:family w:val="roman"/>
    <w:pitch w:val="variable"/>
  </w:font>
  <w:font w:name="Marianne">
    <w:charset w:val="00" w:characterSet="windows-1252"/>
    <w:family w:val="modern"/>
    <w:pitch w:val="variable"/>
  </w:font>
  <w:font w:name="Courier New">
    <w:charset w:val="00" w:characterSet="windows-1252"/>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20"/>
        </w:tabs>
        <w:ind w:start="720" w:hanging="360"/>
      </w:pPr>
      <w:rPr>
        <w:rFonts w:ascii="Symbol" w:hAnsi="Symbol" w:cs="Symbol" w:hint="default"/>
        <w:color w:val="000000"/>
        <w:kern w:val="0"/>
        <w:sz w:val="20"/>
        <w:szCs w:val="22"/>
        <w:lang w:eastAsia="ar-SA"/>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10"/>
  <w:displayBackgroundShape/>
  <w:defaultTabStop w:val="709"/>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val="false"/>
      <w:suppressAutoHyphens w:val="true"/>
      <w:bidi w:val="0"/>
    </w:pPr>
    <w:rPr>
      <w:rFonts w:ascii="Liberation Serif;Times New Roman" w:hAnsi="Liberation Serif;Times New Roman" w:eastAsia="NSimSun" w:cs="Arial"/>
      <w:color w:val="auto"/>
      <w:kern w:val="2"/>
      <w:sz w:val="24"/>
      <w:szCs w:val="24"/>
      <w:lang w:val="fr-FR" w:eastAsia="zh-CN" w:bidi="hi-IN"/>
    </w:rPr>
  </w:style>
  <w:style w:type="character" w:styleId="WW8Num1z0">
    <w:name w:val="WW8Num1z0"/>
    <w:qFormat/>
    <w:rPr>
      <w:rFonts w:ascii="Symbol" w:hAnsi="Symbol" w:cs="Symbol"/>
      <w:color w:val="000000"/>
      <w:kern w:val="0"/>
      <w:sz w:val="20"/>
      <w:szCs w:val="22"/>
      <w:lang w:eastAsia="ar-SA"/>
    </w:rPr>
  </w:style>
  <w:style w:type="character" w:styleId="WW8Num1z1">
    <w:name w:val="WW8Num1z1"/>
    <w:qFormat/>
    <w:rPr>
      <w:rFonts w:ascii="Courier New" w:hAnsi="Courier New" w:cs="Courier New"/>
      <w:sz w:val="20"/>
    </w:rPr>
  </w:style>
  <w:style w:type="character" w:styleId="WW8Num1z2">
    <w:name w:val="WW8Num1z2"/>
    <w:qFormat/>
    <w:rPr>
      <w:rFonts w:ascii="Wingdings" w:hAnsi="Wingdings" w:cs="Wingdings"/>
      <w:sz w:val="20"/>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eastAsia="Calibri" w:cs="Symbol"/>
      <w:color w:val="000000"/>
      <w:kern w:val="0"/>
      <w:sz w:val="20"/>
      <w:szCs w:val="22"/>
      <w:lang w:eastAsia="ar-SA"/>
    </w:rPr>
  </w:style>
  <w:style w:type="character" w:styleId="WW8Num2z1">
    <w:name w:val="WW8Num2z1"/>
    <w:qFormat/>
    <w:rPr>
      <w:rFonts w:ascii="Courier New" w:hAnsi="Courier New" w:cs="Courier New"/>
      <w:sz w:val="20"/>
    </w:rPr>
  </w:style>
  <w:style w:type="character" w:styleId="WW8Num2z2">
    <w:name w:val="WW8Num2z2"/>
    <w:qFormat/>
    <w:rPr>
      <w:rFonts w:ascii="Wingdings" w:hAnsi="Wingdings" w:cs="Wingdings"/>
      <w:sz w:val="20"/>
    </w:rPr>
  </w:style>
  <w:style w:type="character" w:styleId="WW8Num3z0">
    <w:name w:val="WW8Num3z0"/>
    <w:qFormat/>
    <w:rPr>
      <w:rFonts w:ascii="Symbol" w:hAnsi="Symbol" w:cs="Symbol"/>
      <w:sz w:val="20"/>
    </w:rPr>
  </w:style>
  <w:style w:type="character" w:styleId="WW8Num3z1">
    <w:name w:val="WW8Num3z1"/>
    <w:qFormat/>
    <w:rPr>
      <w:rFonts w:ascii="Courier New" w:hAnsi="Courier New" w:cs="Courier New"/>
      <w:sz w:val="20"/>
    </w:rPr>
  </w:style>
  <w:style w:type="character" w:styleId="WW8Num3z2">
    <w:name w:val="WW8Num3z2"/>
    <w:qFormat/>
    <w:rPr>
      <w:rFonts w:ascii="Wingdings" w:hAnsi="Wingdings" w:cs="Wingdings"/>
      <w:sz w:val="20"/>
    </w:rPr>
  </w:style>
  <w:style w:type="character" w:styleId="WW8Num4z0">
    <w:name w:val="WW8Num4z0"/>
    <w:qFormat/>
    <w:rPr>
      <w:rFonts w:ascii="Symbol" w:hAnsi="Symbol" w:cs="Symbol"/>
      <w:sz w:val="20"/>
    </w:rPr>
  </w:style>
  <w:style w:type="character" w:styleId="WW8Num4z1">
    <w:name w:val="WW8Num4z1"/>
    <w:qFormat/>
    <w:rPr>
      <w:rFonts w:ascii="Courier New" w:hAnsi="Courier New" w:cs="Courier New"/>
      <w:sz w:val="20"/>
    </w:rPr>
  </w:style>
  <w:style w:type="character" w:styleId="WW8Num4z2">
    <w:name w:val="WW8Num4z2"/>
    <w:qFormat/>
    <w:rPr>
      <w:rFonts w:ascii="Wingdings" w:hAnsi="Wingdings" w:cs="Wingdings"/>
      <w:sz w:val="20"/>
    </w:rPr>
  </w:style>
  <w:style w:type="character" w:styleId="WW8Num5z0">
    <w:name w:val="WW8Num5z0"/>
    <w:qFormat/>
    <w:rPr>
      <w:rFonts w:ascii="Symbol" w:hAnsi="Symbol" w:cs="Symbol"/>
      <w:sz w:val="20"/>
    </w:rPr>
  </w:style>
  <w:style w:type="character" w:styleId="WW8Num5z1">
    <w:name w:val="WW8Num5z1"/>
    <w:qFormat/>
    <w:rPr>
      <w:rFonts w:ascii="Courier New" w:hAnsi="Courier New" w:cs="Courier New"/>
      <w:sz w:val="20"/>
    </w:rPr>
  </w:style>
  <w:style w:type="character" w:styleId="WW8Num5z2">
    <w:name w:val="WW8Num5z2"/>
    <w:qFormat/>
    <w:rPr>
      <w:rFonts w:ascii="Wingdings" w:hAnsi="Wingdings" w:cs="Wingdings"/>
      <w:sz w:val="20"/>
    </w:rPr>
  </w:style>
  <w:style w:type="character" w:styleId="WW8Num6z0">
    <w:name w:val="WW8Num6z0"/>
    <w:qFormat/>
    <w:rPr>
      <w:rFonts w:ascii="Symbol" w:hAnsi="Symbol" w:cs="Symbol"/>
      <w:sz w:val="20"/>
    </w:rPr>
  </w:style>
  <w:style w:type="character" w:styleId="WW8Num6z1">
    <w:name w:val="WW8Num6z1"/>
    <w:qFormat/>
    <w:rPr>
      <w:rFonts w:ascii="Courier New" w:hAnsi="Courier New" w:cs="Courier New"/>
      <w:sz w:val="20"/>
    </w:rPr>
  </w:style>
  <w:style w:type="character" w:styleId="WW8Num6z2">
    <w:name w:val="WW8Num6z2"/>
    <w:qFormat/>
    <w:rPr>
      <w:rFonts w:ascii="Wingdings" w:hAnsi="Wingdings" w:cs="Wingdings"/>
      <w:sz w:val="20"/>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Policepardfaut">
    <w:name w:val="Police par défaut"/>
    <w:qFormat/>
    <w:rPr/>
  </w:style>
  <w:style w:type="character" w:styleId="WW8Num2z3">
    <w:name w:val="WW8Num2z3"/>
    <w:qFormat/>
    <w:rPr>
      <w:rFonts w:ascii="Symbol" w:hAnsi="Symbol" w:cs="OpenSymbol;Arial Unicode MS"/>
    </w:rPr>
  </w:style>
  <w:style w:type="character" w:styleId="WW8Num8z0">
    <w:name w:val="WW8Num8z0"/>
    <w:qFormat/>
    <w:rPr>
      <w:rFonts w:ascii="Symbol" w:hAnsi="Symbol" w:cs="Symbol"/>
      <w:sz w:val="20"/>
    </w:rPr>
  </w:style>
  <w:style w:type="character" w:styleId="WW8Num8z1">
    <w:name w:val="WW8Num8z1"/>
    <w:qFormat/>
    <w:rPr>
      <w:rFonts w:ascii="Courier New" w:hAnsi="Courier New" w:cs="Courier New"/>
      <w:sz w:val="20"/>
    </w:rPr>
  </w:style>
  <w:style w:type="character" w:styleId="WW8Num8z2">
    <w:name w:val="WW8Num8z2"/>
    <w:qFormat/>
    <w:rPr>
      <w:rFonts w:ascii="Wingdings" w:hAnsi="Wingdings" w:cs="Wingdings"/>
      <w:sz w:val="20"/>
    </w:rPr>
  </w:style>
  <w:style w:type="character" w:styleId="WW8Num9z0">
    <w:name w:val="WW8Num9z0"/>
    <w:qFormat/>
    <w:rPr>
      <w:rFonts w:ascii="Symbol" w:hAnsi="Symbol" w:cs="Symbol"/>
      <w:sz w:val="20"/>
    </w:rPr>
  </w:style>
  <w:style w:type="character" w:styleId="WW8Num9z1">
    <w:name w:val="WW8Num9z1"/>
    <w:qFormat/>
    <w:rPr>
      <w:rFonts w:ascii="Courier New" w:hAnsi="Courier New" w:cs="Courier New"/>
      <w:sz w:val="20"/>
    </w:rPr>
  </w:style>
  <w:style w:type="character" w:styleId="WW8Num9z2">
    <w:name w:val="WW8Num9z2"/>
    <w:qFormat/>
    <w:rPr>
      <w:rFonts w:ascii="Wingdings" w:hAnsi="Wingdings" w:cs="Wingdings"/>
      <w:sz w:val="20"/>
    </w:rPr>
  </w:style>
  <w:style w:type="character" w:styleId="Policepardfaut2">
    <w:name w:val="Police par défaut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Policepardfaut1">
    <w:name w:val="Police par défaut1"/>
    <w:qFormat/>
    <w:rPr/>
  </w:style>
  <w:style w:type="character" w:styleId="Puces">
    <w:name w:val="Puces"/>
    <w:qFormat/>
    <w:rPr>
      <w:rFonts w:ascii="OpenSymbol;Arial Unicode MS" w:hAnsi="OpenSymbol;Arial Unicode MS" w:eastAsia="OpenSymbol;Arial Unicode MS" w:cs="OpenSymbol;Arial Unicode MS"/>
    </w:rPr>
  </w:style>
  <w:style w:type="character" w:styleId="fontstyle21">
    <w:name w:val="fontstyle21"/>
    <w:basedOn w:val="Policepardfaut"/>
    <w:qFormat/>
    <w:rPr>
      <w:rFonts w:ascii="Calibri" w:hAnsi="Calibri" w:cs="Calibri"/>
      <w:b w:val="false"/>
      <w:bCs w:val="false"/>
      <w:i w:val="false"/>
      <w:iCs w:val="false"/>
      <w:color w:val="000000"/>
      <w:sz w:val="20"/>
      <w:szCs w:val="20"/>
    </w:rPr>
  </w:style>
  <w:style w:type="paragraph" w:styleId="Titre">
    <w:name w:val="Titre"/>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cs="Arial"/>
    </w:rPr>
  </w:style>
  <w:style w:type="paragraph" w:styleId="caption1">
    <w:name w:val="caption1"/>
    <w:basedOn w:val="Normal"/>
    <w:qFormat/>
    <w:pPr>
      <w:suppressLineNumbers/>
      <w:spacing w:before="120" w:after="120"/>
    </w:pPr>
    <w:rPr>
      <w:rFonts w:ascii="Marianne" w:hAnsi="Marianne" w:cs="Arial"/>
      <w:i/>
      <w:iCs/>
      <w:sz w:val="24"/>
      <w:szCs w:val="24"/>
    </w:rPr>
  </w:style>
  <w:style w:type="paragraph" w:styleId="caption11">
    <w:name w:val="caption11"/>
    <w:basedOn w:val="Normal"/>
    <w:qFormat/>
    <w:pPr>
      <w:suppressLineNumbers/>
      <w:spacing w:before="120" w:after="120"/>
    </w:pPr>
    <w:rPr>
      <w:rFonts w:ascii="Marianne" w:hAnsi="Marianne" w:cs="Arial"/>
      <w:i/>
      <w:iCs/>
      <w:sz w:val="24"/>
      <w:szCs w:val="24"/>
    </w:rPr>
  </w:style>
  <w:style w:type="paragraph" w:styleId="Caption111">
    <w:name w:val="Caption111"/>
    <w:basedOn w:val="Normal"/>
    <w:qFormat/>
    <w:pPr>
      <w:suppressLineNumbers/>
      <w:spacing w:before="120" w:after="120"/>
    </w:pPr>
    <w:rPr>
      <w:rFonts w:ascii="Marianne" w:hAnsi="Marianne" w:cs="Arial"/>
      <w:i/>
      <w:iCs/>
      <w:sz w:val="24"/>
      <w:szCs w:val="24"/>
    </w:rPr>
  </w:style>
  <w:style w:type="paragraph" w:styleId="Caption1111">
    <w:name w:val="Caption1111"/>
    <w:basedOn w:val="Normal"/>
    <w:qFormat/>
    <w:pPr>
      <w:suppressLineNumbers/>
      <w:spacing w:before="120" w:after="120"/>
    </w:pPr>
    <w:rPr>
      <w:rFonts w:cs="Arial"/>
      <w:i/>
      <w:iCs/>
      <w:sz w:val="24"/>
      <w:szCs w:val="24"/>
    </w:rPr>
  </w:style>
  <w:style w:type="paragraph" w:styleId="Titre3">
    <w:name w:val="Titre3"/>
    <w:basedOn w:val="Normal"/>
    <w:next w:val="BodyText"/>
    <w:qFormat/>
    <w:pPr>
      <w:keepNext w:val="true"/>
      <w:spacing w:before="240" w:after="120"/>
    </w:pPr>
    <w:rPr>
      <w:rFonts w:ascii="Liberation Sans;Arial" w:hAnsi="Liberation Sans;Arial" w:eastAsia="Microsoft YaHei" w:cs="Arial"/>
      <w:sz w:val="28"/>
      <w:szCs w:val="28"/>
    </w:rPr>
  </w:style>
  <w:style w:type="paragraph" w:styleId="Titre2">
    <w:name w:val="Titre2"/>
    <w:basedOn w:val="Normal"/>
    <w:next w:val="BodyText"/>
    <w:qFormat/>
    <w:pPr>
      <w:keepNext w:val="true"/>
      <w:spacing w:before="240" w:after="120"/>
    </w:pPr>
    <w:rPr>
      <w:rFonts w:ascii="Liberation Sans;Arial" w:hAnsi="Liberation Sans;Arial" w:eastAsia="Microsoft YaHei" w:cs="Arial"/>
      <w:sz w:val="28"/>
      <w:szCs w:val="28"/>
    </w:rPr>
  </w:style>
  <w:style w:type="paragraph" w:styleId="Titre1">
    <w:name w:val="Titre1"/>
    <w:basedOn w:val="Normal"/>
    <w:next w:val="BodyText"/>
    <w:qFormat/>
    <w:pPr>
      <w:keepNext w:val="true"/>
      <w:spacing w:before="240" w:after="120"/>
    </w:pPr>
    <w:rPr>
      <w:rFonts w:ascii="Liberation Sans;Arial" w:hAnsi="Liberation Sans;Arial" w:eastAsia="Microsoft YaHei" w:cs="Arial"/>
      <w:sz w:val="28"/>
      <w:szCs w:val="28"/>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Corpsdetexte21">
    <w:name w:val="Corps de texte 21"/>
    <w:basedOn w:val="Normal"/>
    <w:qFormat/>
    <w:pPr>
      <w:widowControl w:val="false"/>
      <w:suppressAutoHyphens w:val="true"/>
      <w:spacing w:lineRule="auto" w:line="240" w:before="0" w:after="0"/>
      <w:jc w:val="both"/>
    </w:pPr>
    <w:rPr>
      <w:rFonts w:ascii="Times;Times New Roman" w:hAnsi="Times;Times New Roman" w:eastAsia="Lucida Sans Unicode" w:cs="Times;Times New Roman"/>
      <w:kern w:val="2"/>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rFonts w:eastAsia="0;Times New Roman"/>
    </w:rPr>
  </w:style>
  <w:style w:type="paragraph" w:styleId="Header">
    <w:name w:val="header"/>
    <w:basedOn w:val="Normal"/>
    <w:pPr>
      <w:tabs>
        <w:tab w:val="clear" w:pos="709"/>
        <w:tab w:val="center" w:pos="4536" w:leader="none"/>
        <w:tab w:val="right" w:pos="9072" w:leader="none"/>
      </w:tabs>
    </w:pPr>
    <w:rPr/>
  </w:style>
  <w:style w:type="paragraph" w:styleId="NormalWeb">
    <w:name w:val="Normal (Web)"/>
    <w:basedOn w:val="Normal"/>
    <w:qFormat/>
    <w:pPr>
      <w:widowControl/>
      <w:suppressAutoHyphens w:val="false"/>
      <w:spacing w:before="100" w:after="0"/>
    </w:pPr>
    <w:rPr>
      <w:rFonts w:ascii="Times New Roman" w:hAnsi="Times New Roman" w:eastAsia="Times New Roman" w:cs="Times New Roman"/>
      <w:kern w:val="0"/>
      <w:lang w:bidi="ar-SA"/>
    </w:rPr>
  </w:style>
  <w:style w:type="paragraph" w:styleId="western">
    <w:name w:val="western"/>
    <w:basedOn w:val="Normal"/>
    <w:qFormat/>
    <w:pPr>
      <w:widowControl/>
      <w:suppressAutoHyphens w:val="false"/>
      <w:spacing w:before="100" w:after="0"/>
    </w:pPr>
    <w:rPr>
      <w:rFonts w:ascii="Times New Roman" w:hAnsi="Times New Roman" w:eastAsia="Times New Roman" w:cs="Times New Roman"/>
      <w:kern w:val="0"/>
      <w:lang w:bidi="ar-SA"/>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Pages>
  <Words>284</Words>
  <Characters>1736</Characters>
  <CharactersWithSpaces>1999</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